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3CCA" w14:textId="77777777" w:rsidR="00E44DA8" w:rsidRDefault="00D239AD" w:rsidP="00D239AD">
      <w:pPr>
        <w:spacing w:after="0" w:line="240" w:lineRule="auto"/>
        <w:rPr>
          <w:rFonts w:asciiTheme="minorBidi" w:hAnsiTheme="minorBidi"/>
          <w:b/>
          <w:bCs/>
          <w:noProof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E44DA8">
        <w:rPr>
          <w:rFonts w:asciiTheme="minorBidi" w:hAnsiTheme="minorBidi"/>
          <w:b/>
          <w:bCs/>
          <w:noProof/>
          <w:sz w:val="32"/>
          <w:szCs w:val="32"/>
        </w:rPr>
        <w:t xml:space="preserve"> </w:t>
      </w:r>
    </w:p>
    <w:p w14:paraId="363B2B67" w14:textId="728D86B0" w:rsidR="00593E8D" w:rsidRPr="000C2AAC" w:rsidRDefault="00E44DA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t xml:space="preserve">                              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63740C2E">
                <wp:simplePos x="0" y="0"/>
                <wp:positionH relativeFrom="column">
                  <wp:posOffset>4445</wp:posOffset>
                </wp:positionH>
                <wp:positionV relativeFrom="paragraph">
                  <wp:posOffset>81280</wp:posOffset>
                </wp:positionV>
                <wp:extent cx="5953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4pt" to="469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87182F" w:rsidRPr="0087182F" w14:paraId="77FFD68C" w14:textId="77777777" w:rsidTr="00E44DA8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56C2533B" w14:textId="3A74F4E4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01D1E949" w14:textId="77777777" w:rsidTr="00E44DA8">
        <w:tc>
          <w:tcPr>
            <w:tcW w:w="675" w:type="dxa"/>
          </w:tcPr>
          <w:p w14:paraId="26A064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7B9E4534" w14:textId="33E3987C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</w:tc>
      </w:tr>
      <w:tr w:rsidR="0087182F" w:rsidRPr="0087182F" w14:paraId="708C5F9A" w14:textId="77777777" w:rsidTr="00E44DA8">
        <w:tc>
          <w:tcPr>
            <w:tcW w:w="675" w:type="dxa"/>
          </w:tcPr>
          <w:p w14:paraId="6CEF3F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0DBEECBA" w14:textId="622BF5BA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254F01EF" w14:textId="77777777" w:rsidTr="00E44DA8">
        <w:tc>
          <w:tcPr>
            <w:tcW w:w="675" w:type="dxa"/>
          </w:tcPr>
          <w:p w14:paraId="543C947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36744384" w14:textId="3D5D95BA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14:paraId="0B6DBC73" w14:textId="77777777" w:rsidTr="00E44DA8">
        <w:tc>
          <w:tcPr>
            <w:tcW w:w="675" w:type="dxa"/>
          </w:tcPr>
          <w:p w14:paraId="630A05A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4B7ED90E" w14:textId="77777777" w:rsidR="00E44DA8" w:rsidRDefault="00394708" w:rsidP="00E44DA8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</w:p>
          <w:p w14:paraId="68C5E84D" w14:textId="5C59CAEC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3679076E" w14:textId="77777777" w:rsidTr="00E44DA8">
        <w:tc>
          <w:tcPr>
            <w:tcW w:w="675" w:type="dxa"/>
          </w:tcPr>
          <w:p w14:paraId="0BE33F8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7629A3AC" w14:textId="75F27324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3626E98F" w14:textId="77777777" w:rsidTr="00E44DA8">
        <w:tc>
          <w:tcPr>
            <w:tcW w:w="675" w:type="dxa"/>
          </w:tcPr>
          <w:p w14:paraId="5C1EC9D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14:paraId="5FD2D449" w14:textId="71381799" w:rsidR="00394708" w:rsidRPr="0087182F" w:rsidRDefault="00394708" w:rsidP="00E44DA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0FEE3B9A" w:rsidR="00075E4A" w:rsidRPr="00E44DA8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  <w:r w:rsidRPr="00E44DA8">
        <w:rPr>
          <w:rFonts w:asciiTheme="minorBidi" w:hAnsiTheme="minorBidi"/>
          <w:sz w:val="32"/>
          <w:szCs w:val="32"/>
          <w:cs/>
          <w:lang w:bidi="th-TH"/>
        </w:rPr>
        <w:t>จำนวนเฉลี่ยต่อเดือน</w:t>
      </w:r>
      <w:r w:rsidR="00C81DB8" w:rsidRPr="00E44DA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E44DA8" w:rsidRPr="00E44DA8">
        <w:rPr>
          <w:rFonts w:asciiTheme="minorBidi" w:hAnsiTheme="minorBidi"/>
          <w:noProof/>
          <w:sz w:val="32"/>
          <w:szCs w:val="32"/>
        </w:rPr>
        <w:tab/>
      </w:r>
      <w:r w:rsidR="00C81DB8" w:rsidRPr="00E44DA8">
        <w:rPr>
          <w:rFonts w:asciiTheme="minorBidi" w:hAnsiTheme="minorBidi"/>
          <w:noProof/>
          <w:sz w:val="32"/>
          <w:szCs w:val="32"/>
        </w:rPr>
        <w:t>0</w:t>
      </w:r>
      <w:r w:rsidR="00C81DB8" w:rsidRPr="00E44DA8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3DCFC155" w14:textId="41712F87" w:rsidR="00075E4A" w:rsidRPr="00E44DA8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E44DA8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E44DA8" w:rsidRPr="00E44DA8">
        <w:rPr>
          <w:rFonts w:asciiTheme="minorBidi" w:hAnsiTheme="minorBidi"/>
          <w:noProof/>
          <w:sz w:val="32"/>
          <w:szCs w:val="32"/>
        </w:rPr>
        <w:tab/>
      </w:r>
      <w:r w:rsidR="00C81DB8" w:rsidRPr="00E44DA8">
        <w:rPr>
          <w:rFonts w:asciiTheme="minorBidi" w:hAnsiTheme="minorBidi"/>
          <w:noProof/>
          <w:sz w:val="32"/>
          <w:szCs w:val="32"/>
        </w:rPr>
        <w:t>0</w:t>
      </w:r>
      <w:r w:rsidR="00C81DB8" w:rsidRPr="00E44DA8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6638BAE9" w14:textId="2E392ACE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E44DA8">
        <w:rPr>
          <w:rFonts w:asciiTheme="minorBidi" w:hAnsiTheme="minorBidi"/>
          <w:sz w:val="32"/>
          <w:szCs w:val="32"/>
          <w:cs/>
          <w:lang w:bidi="th-TH"/>
        </w:rPr>
        <w:tab/>
        <w:t>จำนวนคำขอที่น้อยที่สุด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E44DA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A5BF54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E44DA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94F82" w:rsidRPr="000C2AAC" w14:paraId="5F1398AA" w14:textId="77777777" w:rsidTr="00B5501E">
        <w:tc>
          <w:tcPr>
            <w:tcW w:w="567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A9FAEB" w14:textId="77777777" w:rsidR="00E44DA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</w:t>
            </w:r>
          </w:p>
          <w:p w14:paraId="121102A7" w14:textId="350BD786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ตนเอง ณ หน่วยงาน</w:t>
            </w:r>
          </w:p>
          <w:p w14:paraId="2257F477" w14:textId="77777777" w:rsidR="00E44DA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78653E4A" w14:textId="36F26ADA" w:rsidR="00E44DA8" w:rsidRPr="000C2AAC" w:rsidRDefault="00094F82" w:rsidP="00B73C0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B73C0E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4E0FFD7" w14:textId="7ADF7F0C" w:rsidR="009278E0" w:rsidRPr="009278E0" w:rsidRDefault="00575FAF" w:rsidP="009278E0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rPr>
          <w:rFonts w:asciiTheme="minorBidi" w:hAnsiTheme="minorBidi" w:hint="cs"/>
          <w:noProof/>
          <w:sz w:val="32"/>
          <w:szCs w:val="32"/>
          <w:lang w:bidi="th-TH"/>
        </w:rPr>
      </w:pPr>
      <w:r w:rsidRPr="009278E0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="00E44DA8" w:rsidRPr="009278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9278E0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="00E44DA8" w:rsidRPr="009278E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9278E0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 ต้องยื่นขอแก้ไขเปลี่ยนแปลงตามแบบ ธพ</w:t>
      </w:r>
      <w:r w:rsidRPr="009278E0">
        <w:rPr>
          <w:rFonts w:asciiTheme="minorBidi" w:hAnsiTheme="minorBidi"/>
          <w:noProof/>
          <w:sz w:val="32"/>
          <w:szCs w:val="32"/>
        </w:rPr>
        <w:t>.</w:t>
      </w:r>
      <w:r w:rsidRPr="009278E0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9278E0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9278E0">
        <w:rPr>
          <w:rFonts w:asciiTheme="minorBidi" w:hAnsiTheme="minorBidi"/>
          <w:noProof/>
          <w:sz w:val="32"/>
          <w:szCs w:val="32"/>
          <w:rtl/>
          <w:cs/>
          <w:lang w:bidi="th-TH"/>
        </w:rPr>
        <w:t>๔</w:t>
      </w:r>
    </w:p>
    <w:p w14:paraId="29955929" w14:textId="77777777" w:rsidR="009278E0" w:rsidRDefault="009278E0" w:rsidP="009278E0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rPr>
          <w:rFonts w:asciiTheme="minorBidi" w:hAnsiTheme="minorBidi" w:hint="cs"/>
          <w:noProof/>
          <w:sz w:val="32"/>
          <w:szCs w:val="32"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14:paraId="2CC97912" w14:textId="77777777" w:rsidR="009278E0" w:rsidRPr="009278E0" w:rsidRDefault="009278E0" w:rsidP="009278E0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ต้องมีลักษณะเป็นไปตามกฎกระทรวงสถานีบริการน้ำมันเชื้อเพลง พ.ศ. 2552    </w:t>
      </w:r>
    </w:p>
    <w:p w14:paraId="7E6E8A41" w14:textId="483674F1" w:rsidR="00575FAF" w:rsidRDefault="00575FAF" w:rsidP="009278E0">
      <w:pPr>
        <w:pStyle w:val="a5"/>
        <w:tabs>
          <w:tab w:val="left" w:pos="-142"/>
        </w:tabs>
        <w:spacing w:after="0" w:line="240" w:lineRule="auto"/>
        <w:ind w:left="765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9278E0">
        <w:rPr>
          <w:rFonts w:asciiTheme="minorBidi" w:hAnsiTheme="minorBidi"/>
          <w:noProof/>
          <w:sz w:val="20"/>
          <w:szCs w:val="20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3FA7D1CB" w14:textId="77777777" w:rsidR="009278E0" w:rsidRDefault="009278E0" w:rsidP="009278E0">
      <w:pPr>
        <w:pStyle w:val="a5"/>
        <w:tabs>
          <w:tab w:val="left" w:pos="-142"/>
        </w:tabs>
        <w:spacing w:after="0" w:line="240" w:lineRule="auto"/>
        <w:ind w:left="765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4282B65" w14:textId="77777777" w:rsidR="009278E0" w:rsidRDefault="009278E0" w:rsidP="009278E0">
      <w:pPr>
        <w:pStyle w:val="a5"/>
        <w:tabs>
          <w:tab w:val="left" w:pos="-142"/>
        </w:tabs>
        <w:spacing w:after="0" w:line="240" w:lineRule="auto"/>
        <w:ind w:left="765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4158295" w14:textId="77777777" w:rsidR="009278E0" w:rsidRDefault="009278E0" w:rsidP="009278E0">
      <w:pPr>
        <w:pStyle w:val="a5"/>
        <w:tabs>
          <w:tab w:val="left" w:pos="-142"/>
        </w:tabs>
        <w:spacing w:after="0" w:line="240" w:lineRule="auto"/>
        <w:ind w:left="765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368"/>
        <w:gridCol w:w="1609"/>
        <w:gridCol w:w="1134"/>
      </w:tblGrid>
      <w:tr w:rsidR="00313D38" w:rsidRPr="000C2AAC" w14:paraId="5E02CB78" w14:textId="77777777" w:rsidTr="009278E0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F1492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F1492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ประเภทขั้นตอน</w:t>
            </w:r>
          </w:p>
        </w:tc>
        <w:tc>
          <w:tcPr>
            <w:tcW w:w="3119" w:type="dxa"/>
            <w:vAlign w:val="center"/>
          </w:tcPr>
          <w:p w14:paraId="39C2BD7A" w14:textId="77777777" w:rsidR="00313D38" w:rsidRPr="00BF1492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F1492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09" w:type="dxa"/>
          </w:tcPr>
          <w:p w14:paraId="688C6C77" w14:textId="77777777" w:rsidR="00313D38" w:rsidRPr="00BF1492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14:paraId="6E2A0B5C" w14:textId="77777777" w:rsidR="00313D38" w:rsidRPr="00BF1492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F1492">
              <w:rPr>
                <w:rFonts w:asciiTheme="minorBidi" w:hAnsiTheme="minorBidi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9278E0">
        <w:tc>
          <w:tcPr>
            <w:tcW w:w="675" w:type="dxa"/>
          </w:tcPr>
          <w:p w14:paraId="5E768AD0" w14:textId="2C6E62E0" w:rsidR="00313D38" w:rsidRPr="00AC4ACB" w:rsidRDefault="00313D38" w:rsidP="00BF149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119" w:type="dxa"/>
          </w:tcPr>
          <w:p w14:paraId="2A225131" w14:textId="416039E7" w:rsidR="00313D38" w:rsidRPr="000C2AAC" w:rsidRDefault="00313D38" w:rsidP="00BF1492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BF14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09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134" w:type="dxa"/>
          </w:tcPr>
          <w:p w14:paraId="3AE07B5D" w14:textId="418FC77C" w:rsidR="00313D38" w:rsidRPr="000C2AAC" w:rsidRDefault="00313D38" w:rsidP="00BF14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82F860" w14:textId="77777777" w:rsidTr="009278E0">
        <w:tc>
          <w:tcPr>
            <w:tcW w:w="675" w:type="dxa"/>
          </w:tcPr>
          <w:p w14:paraId="0DDAE227" w14:textId="77777777" w:rsidR="00313D38" w:rsidRPr="00AC4ACB" w:rsidRDefault="00313D38" w:rsidP="00BF149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22A56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930DD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119" w:type="dxa"/>
          </w:tcPr>
          <w:p w14:paraId="465D6F37" w14:textId="6E5D4D01" w:rsidR="00313D38" w:rsidRPr="000C2AAC" w:rsidRDefault="00313D38" w:rsidP="00BF1492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368" w:type="dxa"/>
          </w:tcPr>
          <w:p w14:paraId="09806760" w14:textId="77777777" w:rsidR="00313D38" w:rsidRPr="000C2AAC" w:rsidRDefault="00313D38" w:rsidP="00BF14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09" w:type="dxa"/>
          </w:tcPr>
          <w:p w14:paraId="1E0A91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134" w:type="dxa"/>
          </w:tcPr>
          <w:p w14:paraId="168C6ECA" w14:textId="77777777" w:rsidR="00313D38" w:rsidRPr="000C2AAC" w:rsidRDefault="00313D38" w:rsidP="00BF14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5E0679" w14:textId="77777777" w:rsidTr="009278E0">
        <w:tc>
          <w:tcPr>
            <w:tcW w:w="675" w:type="dxa"/>
          </w:tcPr>
          <w:p w14:paraId="4F7F4F2B" w14:textId="77777777" w:rsidR="00313D38" w:rsidRPr="00AC4ACB" w:rsidRDefault="00313D38" w:rsidP="00BF149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0D0BB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9878F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119" w:type="dxa"/>
          </w:tcPr>
          <w:p w14:paraId="509EAC2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723FD7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466F59" w14:textId="77777777" w:rsidR="00313D38" w:rsidRPr="000C2AAC" w:rsidRDefault="00313D38" w:rsidP="00BF14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09" w:type="dxa"/>
          </w:tcPr>
          <w:p w14:paraId="272A72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134" w:type="dxa"/>
          </w:tcPr>
          <w:p w14:paraId="227E9D1C" w14:textId="77777777" w:rsidR="00313D38" w:rsidRPr="000C2AAC" w:rsidRDefault="00313D38" w:rsidP="00BF14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0C602304" w14:textId="77777777" w:rsidR="00BF1492" w:rsidRDefault="00BF1492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F4B91AC" w14:textId="77777777" w:rsidR="00B73C0E" w:rsidRPr="000C2AAC" w:rsidRDefault="00B73C0E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7744990" w:rsidR="008E2900" w:rsidRPr="000C2AAC" w:rsidRDefault="00BF14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81"/>
        <w:gridCol w:w="1843"/>
        <w:gridCol w:w="1559"/>
        <w:gridCol w:w="1701"/>
        <w:gridCol w:w="1110"/>
        <w:gridCol w:w="1708"/>
      </w:tblGrid>
      <w:tr w:rsidR="00AC4ACB" w:rsidRPr="000C2AAC" w14:paraId="1CAEAB76" w14:textId="77777777" w:rsidTr="00BF1492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8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BF1492">
        <w:trPr>
          <w:jc w:val="center"/>
        </w:trPr>
        <w:tc>
          <w:tcPr>
            <w:tcW w:w="675" w:type="dxa"/>
          </w:tcPr>
          <w:p w14:paraId="0FFF921A" w14:textId="21D3E466" w:rsidR="00452B6B" w:rsidRPr="000C2AAC" w:rsidRDefault="00AC4ACB" w:rsidP="00BF1492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2818A0" w14:textId="77777777" w:rsidTr="00BF1492">
        <w:trPr>
          <w:jc w:val="center"/>
        </w:trPr>
        <w:tc>
          <w:tcPr>
            <w:tcW w:w="675" w:type="dxa"/>
          </w:tcPr>
          <w:p w14:paraId="282B3EDA" w14:textId="77777777" w:rsidR="00452B6B" w:rsidRPr="000C2AAC" w:rsidRDefault="00AC4ACB" w:rsidP="00BF1492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14:paraId="1E1704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41235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994758F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F6EE902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EDC784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14:paraId="790C12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B952E6" w14:textId="77777777" w:rsidTr="00BF1492">
        <w:trPr>
          <w:jc w:val="center"/>
        </w:trPr>
        <w:tc>
          <w:tcPr>
            <w:tcW w:w="675" w:type="dxa"/>
          </w:tcPr>
          <w:p w14:paraId="2045928F" w14:textId="77777777" w:rsidR="00452B6B" w:rsidRPr="000C2AAC" w:rsidRDefault="00AC4ACB" w:rsidP="00BF1492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14:paraId="281449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D4233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FB28144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15FCD2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90EC71" w14:textId="77777777" w:rsidR="00452B6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8" w:type="dxa"/>
          </w:tcPr>
          <w:p w14:paraId="2ECB70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๖ 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60"/>
        <w:gridCol w:w="1559"/>
        <w:gridCol w:w="1701"/>
        <w:gridCol w:w="1110"/>
        <w:gridCol w:w="1583"/>
      </w:tblGrid>
      <w:tr w:rsidR="00600A25" w:rsidRPr="000C2AAC" w14:paraId="14EA5AED" w14:textId="77777777" w:rsidTr="009278E0">
        <w:trPr>
          <w:tblHeader/>
        </w:trPr>
        <w:tc>
          <w:tcPr>
            <w:tcW w:w="710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60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83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9278E0">
        <w:tc>
          <w:tcPr>
            <w:tcW w:w="710" w:type="dxa"/>
          </w:tcPr>
          <w:p w14:paraId="7845BF89" w14:textId="58EDE4CC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83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D4E15C" w14:textId="77777777" w:rsidTr="009278E0">
        <w:tc>
          <w:tcPr>
            <w:tcW w:w="710" w:type="dxa"/>
          </w:tcPr>
          <w:p w14:paraId="59AE30F9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0A999E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ประชาชนของผู้มอบอำนาจและผู้รับมอบอำนาจ</w:t>
            </w:r>
          </w:p>
        </w:tc>
        <w:tc>
          <w:tcPr>
            <w:tcW w:w="1560" w:type="dxa"/>
          </w:tcPr>
          <w:p w14:paraId="4253C0B0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13E6F9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90996C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5AC28F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12E6F1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E4FA5E" w14:textId="77777777" w:rsidTr="009278E0">
        <w:tc>
          <w:tcPr>
            <w:tcW w:w="710" w:type="dxa"/>
          </w:tcPr>
          <w:p w14:paraId="41D6705F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5AA1C0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0A5786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5AE1D081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08BABC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F077EA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0D354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43698D" w14:textId="77777777" w:rsidTr="009278E0">
        <w:tc>
          <w:tcPr>
            <w:tcW w:w="710" w:type="dxa"/>
          </w:tcPr>
          <w:p w14:paraId="4165D518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7AACD7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 กรณีขยายแนวเขตสถานประกอบการ</w:t>
            </w:r>
          </w:p>
        </w:tc>
        <w:tc>
          <w:tcPr>
            <w:tcW w:w="1560" w:type="dxa"/>
          </w:tcPr>
          <w:p w14:paraId="53D81FA3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429140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CB0059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D8FD5E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3A7CF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96F6AA" w14:textId="77777777" w:rsidTr="009278E0">
        <w:tc>
          <w:tcPr>
            <w:tcW w:w="710" w:type="dxa"/>
          </w:tcPr>
          <w:p w14:paraId="433522FC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688BF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560" w:type="dxa"/>
          </w:tcPr>
          <w:p w14:paraId="5BE0AB2C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1393D2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1ABB26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8A952A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0E896F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DA807B" w14:textId="77777777" w:rsidTr="009278E0">
        <w:tc>
          <w:tcPr>
            <w:tcW w:w="710" w:type="dxa"/>
          </w:tcPr>
          <w:p w14:paraId="3F81BA5D" w14:textId="77777777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6ED75D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560" w:type="dxa"/>
          </w:tcPr>
          <w:p w14:paraId="571C58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7570E376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6D30987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2123A2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3760E2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DCA4D3" w14:textId="77777777" w:rsidTr="009278E0">
        <w:tc>
          <w:tcPr>
            <w:tcW w:w="710" w:type="dxa"/>
          </w:tcPr>
          <w:p w14:paraId="4B7FBA36" w14:textId="7C142AD2" w:rsidR="00AC4ACB" w:rsidRPr="000C2AAC" w:rsidRDefault="00AC4ACB" w:rsidP="00BF149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7E1787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</w:tc>
        <w:tc>
          <w:tcPr>
            <w:tcW w:w="1560" w:type="dxa"/>
          </w:tcPr>
          <w:p w14:paraId="67A4EAF7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D6FFA4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F19FE5D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3FE9B6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05F5C0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0A65A" w14:textId="77777777" w:rsidTr="009278E0">
        <w:tc>
          <w:tcPr>
            <w:tcW w:w="710" w:type="dxa"/>
          </w:tcPr>
          <w:p w14:paraId="0EAC0321" w14:textId="77777777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7800B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 ที่เกี่ยวข้อง</w:t>
            </w:r>
          </w:p>
        </w:tc>
        <w:tc>
          <w:tcPr>
            <w:tcW w:w="1560" w:type="dxa"/>
          </w:tcPr>
          <w:p w14:paraId="4FC3AD78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E2C0B8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080A71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856258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311ACD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C01AB2" w14:textId="77777777" w:rsidTr="009278E0">
        <w:tc>
          <w:tcPr>
            <w:tcW w:w="710" w:type="dxa"/>
          </w:tcPr>
          <w:p w14:paraId="073ABAF1" w14:textId="77777777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73226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560" w:type="dxa"/>
          </w:tcPr>
          <w:p w14:paraId="09D34E7E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76FAD6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81AD06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78B62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060AFE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45E9F544" w14:textId="77777777" w:rsidR="00BF1492" w:rsidRDefault="00BF1492">
      <w:r>
        <w:br w:type="page"/>
      </w: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559"/>
        <w:gridCol w:w="1701"/>
        <w:gridCol w:w="1110"/>
        <w:gridCol w:w="1583"/>
      </w:tblGrid>
      <w:tr w:rsidR="00BF1492" w:rsidRPr="000C2AAC" w14:paraId="3D1706FB" w14:textId="77777777" w:rsidTr="009278E0">
        <w:tc>
          <w:tcPr>
            <w:tcW w:w="710" w:type="dxa"/>
          </w:tcPr>
          <w:p w14:paraId="4A54A539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126" w:type="dxa"/>
          </w:tcPr>
          <w:p w14:paraId="2C536702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</w:tcPr>
          <w:p w14:paraId="16A36F67" w14:textId="77777777" w:rsidR="00BF1492" w:rsidRPr="000C2AAC" w:rsidRDefault="00BF1492" w:rsidP="009259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</w:tcPr>
          <w:p w14:paraId="16F57453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</w:tcPr>
          <w:p w14:paraId="617C4694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</w:tcPr>
          <w:p w14:paraId="77AC7EF8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83" w:type="dxa"/>
          </w:tcPr>
          <w:p w14:paraId="2F8FDCD1" w14:textId="77777777" w:rsidR="00BF1492" w:rsidRPr="000C2AAC" w:rsidRDefault="00BF1492" w:rsidP="0092592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6F10615" w14:textId="77777777" w:rsidTr="009278E0">
        <w:tc>
          <w:tcPr>
            <w:tcW w:w="710" w:type="dxa"/>
          </w:tcPr>
          <w:p w14:paraId="5ACD1BCB" w14:textId="3E6864A5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09B02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450C7967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9A4168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CBF637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B1881A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7EBF2B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F37676" w14:textId="77777777" w:rsidTr="009278E0">
        <w:tc>
          <w:tcPr>
            <w:tcW w:w="710" w:type="dxa"/>
          </w:tcPr>
          <w:p w14:paraId="67830A40" w14:textId="77777777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292D23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</w:t>
            </w:r>
            <w:bookmarkStart w:id="0" w:name="_GoBack"/>
            <w:bookmarkEnd w:id="0"/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แก่ผู้ได้รับความเสียหาย 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14:paraId="43A66F7B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0F9FA4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96C4E3D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025711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23D330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57F4CE" w14:textId="77777777" w:rsidTr="009278E0">
        <w:tc>
          <w:tcPr>
            <w:tcW w:w="710" w:type="dxa"/>
          </w:tcPr>
          <w:p w14:paraId="521497C9" w14:textId="77777777" w:rsidR="00AC4ACB" w:rsidRPr="000C2AAC" w:rsidRDefault="00AC4ACB" w:rsidP="00B550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7B0FC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E6801D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CDADE1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94664E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25A8CF" w14:textId="77777777" w:rsidR="00AC4ACB" w:rsidRPr="000C2AAC" w:rsidRDefault="00AC4ACB" w:rsidP="00BF14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5CC9E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11345760" w:rsidR="00F62F55" w:rsidRPr="000C2AAC" w:rsidRDefault="001F26C8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</w:t>
            </w:r>
            <w:r w:rsidR="00F62F55"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6D78C88E" w:rsidR="00EA6950" w:rsidRPr="002811B7" w:rsidRDefault="002811B7" w:rsidP="002811B7">
            <w:pPr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 xml:space="preserve">สำนักงานเทศบาลตำบลปรางหมู่  (เว็บไซต์ </w:t>
            </w:r>
            <w:hyperlink r:id="rId9" w:history="1">
              <w:r w:rsidRPr="00C043FA">
                <w:rPr>
                  <w:rStyle w:val="ad"/>
                  <w:rFonts w:asciiTheme="minorBidi" w:hAnsiTheme="minorBidi"/>
                  <w:i/>
                  <w:iCs/>
                  <w:sz w:val="32"/>
                  <w:szCs w:val="32"/>
                  <w:lang w:bidi="th-TH"/>
                </w:rPr>
                <w:t>www.prangmoo.go.th</w:t>
              </w:r>
            </w:hyperlink>
            <w:r>
              <w:rPr>
                <w:rFonts w:asciiTheme="minorBidi" w:hAnsiTheme="minorBidi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, โทรศัพท์ 0-7460-1335</w:t>
            </w:r>
            <w:r w:rsidR="009278E0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</w:tblGrid>
      <w:tr w:rsidR="00F064C0" w:rsidRPr="000C2AAC" w14:paraId="676E0C19" w14:textId="77777777" w:rsidTr="00F05071">
        <w:tc>
          <w:tcPr>
            <w:tcW w:w="42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4DB2DFD4" w:rsidR="00F064C0" w:rsidRPr="000C2AAC" w:rsidRDefault="00F064C0" w:rsidP="009278E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253DE1FE" w:rsidR="0064558D" w:rsidRPr="000C2AAC" w:rsidRDefault="00F05071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64558D"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1604"/>
        <w:gridCol w:w="2756"/>
      </w:tblGrid>
      <w:tr w:rsidR="0064558D" w:rsidRPr="000C2AAC" w14:paraId="6D0BBF17" w14:textId="77777777" w:rsidTr="009278E0">
        <w:tc>
          <w:tcPr>
            <w:tcW w:w="1604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2756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9278E0">
        <w:tc>
          <w:tcPr>
            <w:tcW w:w="1604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756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9278E0">
        <w:tc>
          <w:tcPr>
            <w:tcW w:w="1604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2756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เทศบาลตำบลปรางหมู่ อำเภอเมืองพัทลุง จังหวัดพัทลุง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9278E0">
        <w:tc>
          <w:tcPr>
            <w:tcW w:w="1604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2756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9278E0">
        <w:tc>
          <w:tcPr>
            <w:tcW w:w="1604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2756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E44DA8">
      <w:headerReference w:type="default" r:id="rId10"/>
      <w:pgSz w:w="11907" w:h="16839" w:code="9"/>
      <w:pgMar w:top="1440" w:right="85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5995" w14:textId="77777777" w:rsidR="00834F55" w:rsidRDefault="00834F55" w:rsidP="00C81DB8">
      <w:pPr>
        <w:spacing w:after="0" w:line="240" w:lineRule="auto"/>
      </w:pPr>
      <w:r>
        <w:separator/>
      </w:r>
    </w:p>
  </w:endnote>
  <w:endnote w:type="continuationSeparator" w:id="0">
    <w:p w14:paraId="78C99F85" w14:textId="77777777" w:rsidR="00834F55" w:rsidRDefault="00834F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E5B6" w14:textId="77777777" w:rsidR="00834F55" w:rsidRDefault="00834F55" w:rsidP="00C81DB8">
      <w:pPr>
        <w:spacing w:after="0" w:line="240" w:lineRule="auto"/>
      </w:pPr>
      <w:r>
        <w:separator/>
      </w:r>
    </w:p>
  </w:footnote>
  <w:footnote w:type="continuationSeparator" w:id="0">
    <w:p w14:paraId="2D7BC21E" w14:textId="77777777" w:rsidR="00834F55" w:rsidRDefault="00834F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2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156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173"/>
    <w:multiLevelType w:val="hybridMultilevel"/>
    <w:tmpl w:val="E7F4145A"/>
    <w:lvl w:ilvl="0" w:tplc="33D4D6A6">
      <w:start w:val="1"/>
      <w:numFmt w:val="decimal"/>
      <w:lvlText w:val="%1."/>
      <w:lvlJc w:val="left"/>
      <w:pPr>
        <w:ind w:left="765" w:hanging="360"/>
      </w:pPr>
      <w:rPr>
        <w:rFonts w:asciiTheme="minorBidi" w:eastAsiaTheme="minorHAnsi" w:hAnsiTheme="minorBidi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2302"/>
    <w:rsid w:val="001F26C8"/>
    <w:rsid w:val="00201E94"/>
    <w:rsid w:val="00210AAF"/>
    <w:rsid w:val="00216FA4"/>
    <w:rsid w:val="002440E7"/>
    <w:rsid w:val="00261D40"/>
    <w:rsid w:val="00263F10"/>
    <w:rsid w:val="002811B7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40C0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4F5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5622"/>
    <w:rsid w:val="009278E0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28AC"/>
    <w:rsid w:val="00AC4ACB"/>
    <w:rsid w:val="00AE6A9D"/>
    <w:rsid w:val="00AF4A06"/>
    <w:rsid w:val="00B23DA2"/>
    <w:rsid w:val="00B509FC"/>
    <w:rsid w:val="00B5501E"/>
    <w:rsid w:val="00B73C0E"/>
    <w:rsid w:val="00B95782"/>
    <w:rsid w:val="00BC171C"/>
    <w:rsid w:val="00BC5DA7"/>
    <w:rsid w:val="00BF149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6623"/>
    <w:rsid w:val="00E00F3F"/>
    <w:rsid w:val="00E01AA0"/>
    <w:rsid w:val="00E06DC1"/>
    <w:rsid w:val="00E279FB"/>
    <w:rsid w:val="00E33AD5"/>
    <w:rsid w:val="00E44DA8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5071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ngmoo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35F0-9AD8-43CD-8C7D-C0AA43A3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38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CDH</cp:lastModifiedBy>
  <cp:revision>9</cp:revision>
  <cp:lastPrinted>2015-07-23T01:54:00Z</cp:lastPrinted>
  <dcterms:created xsi:type="dcterms:W3CDTF">2015-07-21T11:52:00Z</dcterms:created>
  <dcterms:modified xsi:type="dcterms:W3CDTF">2015-07-23T01:54:00Z</dcterms:modified>
</cp:coreProperties>
</file>